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5CBCE" w14:textId="77777777" w:rsidR="000E7EC5" w:rsidRPr="00B7078D" w:rsidRDefault="000E7EC5" w:rsidP="001A62CC">
      <w:pPr>
        <w:pBdr>
          <w:bottom w:val="single" w:sz="6" w:space="0" w:color="auto"/>
        </w:pBdr>
        <w:spacing w:after="0" w:line="240" w:lineRule="auto"/>
        <w:ind w:firstLine="720"/>
        <w:jc w:val="both"/>
        <w:rPr>
          <w:rFonts w:cstheme="minorHAnsi"/>
        </w:rPr>
      </w:pPr>
      <w:bookmarkStart w:id="0" w:name="_GoBack"/>
      <w:bookmarkEnd w:id="0"/>
      <w:r w:rsidRPr="00B7078D">
        <w:rPr>
          <w:rFonts w:cstheme="minorHAnsi"/>
          <w:noProof/>
          <w:lang w:eastAsia="el-GR"/>
        </w:rPr>
        <w:drawing>
          <wp:inline distT="0" distB="0" distL="0" distR="0" wp14:anchorId="6C5EC318" wp14:editId="0A6F5088">
            <wp:extent cx="659765" cy="668020"/>
            <wp:effectExtent l="19050" t="0" r="6985" b="0"/>
            <wp:docPr id="2" name="Εικόνα 1" descr="Προβολή εικόνας πλήρους μεγέθου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888C21" w14:textId="77777777" w:rsidR="000E7EC5" w:rsidRPr="00B7078D" w:rsidRDefault="000E7EC5" w:rsidP="001A62CC">
      <w:pPr>
        <w:pBdr>
          <w:bottom w:val="single" w:sz="6" w:space="0" w:color="auto"/>
        </w:pBdr>
        <w:spacing w:after="0" w:line="240" w:lineRule="auto"/>
        <w:jc w:val="both"/>
        <w:rPr>
          <w:rFonts w:cstheme="minorHAnsi"/>
        </w:rPr>
      </w:pPr>
      <w:r w:rsidRPr="00B7078D">
        <w:rPr>
          <w:rFonts w:cstheme="minorHAnsi"/>
        </w:rPr>
        <w:t>ΕΛΛΗΝΙΚΗ ΔΗΜΟΚΡΑΤΙΑ</w:t>
      </w:r>
    </w:p>
    <w:p w14:paraId="7274B636" w14:textId="77777777" w:rsidR="000E7EC5" w:rsidRPr="00B7078D" w:rsidRDefault="000E7EC5" w:rsidP="001A62CC">
      <w:pPr>
        <w:pStyle w:val="2"/>
        <w:numPr>
          <w:ilvl w:val="1"/>
          <w:numId w:val="2"/>
        </w:numPr>
        <w:pBdr>
          <w:top w:val="single" w:sz="6" w:space="1" w:color="auto"/>
          <w:bottom w:val="single" w:sz="6" w:space="2" w:color="auto"/>
        </w:pBdr>
        <w:suppressAutoHyphens/>
        <w:spacing w:before="0" w:after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B7078D">
        <w:rPr>
          <w:rFonts w:asciiTheme="minorHAnsi" w:hAnsiTheme="minorHAnsi" w:cstheme="minorHAnsi"/>
          <w:i w:val="0"/>
          <w:sz w:val="22"/>
          <w:szCs w:val="22"/>
        </w:rPr>
        <w:t>ΥΠΟΥΡΓΕΙΟ ΟΙΚΟΝΟΜΙΚΩΝ</w:t>
      </w:r>
    </w:p>
    <w:p w14:paraId="027F28DC" w14:textId="77777777" w:rsidR="000E7EC5" w:rsidRPr="00B7078D" w:rsidRDefault="000E7EC5" w:rsidP="001A62CC">
      <w:pPr>
        <w:pStyle w:val="3"/>
        <w:numPr>
          <w:ilvl w:val="2"/>
          <w:numId w:val="2"/>
        </w:numPr>
        <w:suppressAutoHyphens/>
        <w:spacing w:before="0" w:after="0" w:line="240" w:lineRule="auto"/>
        <w:ind w:right="-1"/>
        <w:rPr>
          <w:rFonts w:asciiTheme="minorHAnsi" w:hAnsiTheme="minorHAnsi" w:cstheme="minorHAnsi"/>
          <w:sz w:val="22"/>
          <w:szCs w:val="22"/>
        </w:rPr>
      </w:pPr>
      <w:r w:rsidRPr="00B7078D">
        <w:rPr>
          <w:rFonts w:asciiTheme="minorHAnsi" w:hAnsiTheme="minorHAnsi" w:cstheme="minorHAnsi"/>
          <w:sz w:val="22"/>
          <w:szCs w:val="22"/>
        </w:rPr>
        <w:t>Νίκης 5-7</w:t>
      </w:r>
    </w:p>
    <w:p w14:paraId="634F417B" w14:textId="77777777" w:rsidR="000E7EC5" w:rsidRPr="00B7078D" w:rsidRDefault="000E7EC5" w:rsidP="001A62CC">
      <w:pPr>
        <w:pStyle w:val="3"/>
        <w:numPr>
          <w:ilvl w:val="2"/>
          <w:numId w:val="2"/>
        </w:numPr>
        <w:suppressAutoHyphens/>
        <w:spacing w:before="0" w:after="0" w:line="240" w:lineRule="auto"/>
        <w:ind w:right="-1"/>
        <w:rPr>
          <w:rFonts w:asciiTheme="minorHAnsi" w:hAnsiTheme="minorHAnsi" w:cstheme="minorHAnsi"/>
          <w:sz w:val="22"/>
          <w:szCs w:val="22"/>
          <w:lang w:val="en-US"/>
        </w:rPr>
      </w:pPr>
      <w:r w:rsidRPr="00B7078D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563</w:t>
      </w:r>
      <w:r w:rsidRPr="00B7078D">
        <w:rPr>
          <w:rFonts w:asciiTheme="minorHAnsi" w:hAnsiTheme="minorHAnsi" w:cstheme="minorHAnsi"/>
          <w:sz w:val="22"/>
          <w:szCs w:val="22"/>
        </w:rPr>
        <w:t xml:space="preserve"> Αθήνα</w:t>
      </w:r>
    </w:p>
    <w:p w14:paraId="7290096A" w14:textId="77777777" w:rsidR="000E7EC5" w:rsidRPr="00B7078D" w:rsidRDefault="000E7EC5" w:rsidP="001A62CC">
      <w:pPr>
        <w:spacing w:after="0" w:line="240" w:lineRule="auto"/>
        <w:rPr>
          <w:rFonts w:cstheme="minorHAnsi"/>
          <w:b/>
        </w:rPr>
      </w:pPr>
      <w:r w:rsidRPr="00B7078D">
        <w:rPr>
          <w:rFonts w:cstheme="minorHAnsi"/>
          <w:b/>
        </w:rPr>
        <w:t xml:space="preserve">ΓΡΑΦΕΙΟ ΤΥΠΟΥ </w:t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</w:r>
      <w:r w:rsidRPr="00B7078D">
        <w:rPr>
          <w:rFonts w:cstheme="minorHAnsi"/>
          <w:b/>
        </w:rPr>
        <w:tab/>
      </w:r>
    </w:p>
    <w:p w14:paraId="1AC61069" w14:textId="77777777" w:rsidR="000E7EC5" w:rsidRPr="00B7078D" w:rsidRDefault="000E7EC5" w:rsidP="001A62CC">
      <w:pPr>
        <w:pBdr>
          <w:bottom w:val="single" w:sz="6" w:space="1" w:color="auto"/>
        </w:pBdr>
        <w:spacing w:after="0" w:line="240" w:lineRule="auto"/>
        <w:rPr>
          <w:rFonts w:cstheme="minorHAnsi"/>
          <w:b/>
          <w:lang w:val="de-DE"/>
        </w:rPr>
      </w:pPr>
      <w:proofErr w:type="spellStart"/>
      <w:r w:rsidRPr="00B7078D">
        <w:rPr>
          <w:rFonts w:cstheme="minorHAnsi"/>
          <w:b/>
          <w:lang w:val="de-DE"/>
        </w:rPr>
        <w:t>e-mail</w:t>
      </w:r>
      <w:proofErr w:type="spellEnd"/>
      <w:r w:rsidRPr="00B7078D">
        <w:rPr>
          <w:rFonts w:cstheme="minorHAnsi"/>
          <w:b/>
          <w:lang w:val="de-DE"/>
        </w:rPr>
        <w:t>: press@</w:t>
      </w:r>
      <w:proofErr w:type="spellStart"/>
      <w:r w:rsidRPr="00B7078D">
        <w:rPr>
          <w:rFonts w:cstheme="minorHAnsi"/>
          <w:b/>
          <w:lang w:val="fr-FR"/>
        </w:rPr>
        <w:t>minfin</w:t>
      </w:r>
      <w:proofErr w:type="spellEnd"/>
      <w:r w:rsidRPr="00B7078D">
        <w:rPr>
          <w:rFonts w:cstheme="minorHAnsi"/>
          <w:b/>
          <w:lang w:val="de-DE"/>
        </w:rPr>
        <w:t>.</w:t>
      </w:r>
      <w:proofErr w:type="spellStart"/>
      <w:r w:rsidRPr="00B7078D">
        <w:rPr>
          <w:rFonts w:cstheme="minorHAnsi"/>
          <w:b/>
          <w:lang w:val="de-DE"/>
        </w:rPr>
        <w:t>gr</w:t>
      </w:r>
      <w:proofErr w:type="spellEnd"/>
    </w:p>
    <w:p w14:paraId="3B704B03" w14:textId="77777777" w:rsidR="000E7EC5" w:rsidRPr="005B4912" w:rsidRDefault="000E7EC5" w:rsidP="001A62CC">
      <w:pPr>
        <w:spacing w:after="0" w:line="240" w:lineRule="auto"/>
        <w:rPr>
          <w:rStyle w:val="mesotitlos"/>
          <w:rFonts w:eastAsia="Μοντέρνα" w:cstheme="minorHAnsi"/>
          <w:bCs/>
        </w:rPr>
      </w:pPr>
      <w:r w:rsidRPr="005B4912">
        <w:rPr>
          <w:rStyle w:val="mesotitlos"/>
          <w:rFonts w:eastAsia="Μοντέρνα" w:cstheme="minorHAnsi"/>
          <w:bCs/>
        </w:rPr>
        <w:tab/>
      </w:r>
      <w:r w:rsidRPr="005B4912">
        <w:rPr>
          <w:rStyle w:val="mesotitlos"/>
          <w:rFonts w:eastAsia="Μοντέρνα" w:cstheme="minorHAnsi"/>
          <w:bCs/>
        </w:rPr>
        <w:tab/>
      </w:r>
      <w:r w:rsidRPr="005B4912">
        <w:rPr>
          <w:rStyle w:val="mesotitlos"/>
          <w:rFonts w:eastAsia="Μοντέρνα" w:cstheme="minorHAnsi"/>
          <w:bCs/>
        </w:rPr>
        <w:tab/>
      </w:r>
      <w:r w:rsidRPr="005B4912">
        <w:rPr>
          <w:rStyle w:val="mesotitlos"/>
          <w:rFonts w:eastAsia="Μοντέρνα" w:cstheme="minorHAnsi"/>
          <w:bCs/>
        </w:rPr>
        <w:tab/>
      </w:r>
      <w:r w:rsidRPr="005B4912">
        <w:rPr>
          <w:rStyle w:val="mesotitlos"/>
          <w:rFonts w:eastAsia="Μοντέρνα" w:cstheme="minorHAnsi"/>
          <w:bCs/>
        </w:rPr>
        <w:tab/>
      </w:r>
      <w:r w:rsidRPr="005B4912">
        <w:rPr>
          <w:rStyle w:val="mesotitlos"/>
          <w:rFonts w:eastAsia="Μοντέρνα" w:cstheme="minorHAnsi"/>
          <w:bCs/>
        </w:rPr>
        <w:tab/>
      </w:r>
    </w:p>
    <w:p w14:paraId="5DFA74C6" w14:textId="77777777" w:rsidR="000E7EC5" w:rsidRPr="007C7143" w:rsidRDefault="000E7EC5" w:rsidP="001A62CC">
      <w:pPr>
        <w:spacing w:after="0" w:line="240" w:lineRule="auto"/>
        <w:jc w:val="right"/>
        <w:rPr>
          <w:rFonts w:eastAsia="Μοντέρνα" w:cstheme="minorHAnsi"/>
          <w:b/>
          <w:bCs/>
        </w:rPr>
      </w:pPr>
      <w:r>
        <w:rPr>
          <w:rStyle w:val="mesotitlos"/>
          <w:rFonts w:eastAsia="Μοντέρνα" w:cstheme="minorHAnsi"/>
          <w:b/>
        </w:rPr>
        <w:t>Παρασκευή, 9 Απριλίου 2021</w:t>
      </w:r>
    </w:p>
    <w:p w14:paraId="0F39F95D" w14:textId="77777777" w:rsidR="000E7EC5" w:rsidRPr="000E7EC5" w:rsidRDefault="000E7EC5" w:rsidP="001A62CC">
      <w:pPr>
        <w:spacing w:after="0" w:line="240" w:lineRule="auto"/>
        <w:rPr>
          <w:rFonts w:cs="Calibri"/>
          <w:b/>
          <w:color w:val="000000"/>
          <w:sz w:val="24"/>
          <w:szCs w:val="24"/>
        </w:rPr>
      </w:pPr>
    </w:p>
    <w:p w14:paraId="42BAC9CD" w14:textId="4BFBA01B" w:rsidR="000E7EC5" w:rsidRPr="000E7EC5" w:rsidRDefault="000E7EC5" w:rsidP="001A62CC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</w:rPr>
      </w:pPr>
      <w:r w:rsidRPr="000E7EC5">
        <w:rPr>
          <w:rFonts w:cs="Calibri"/>
          <w:b/>
          <w:color w:val="000000"/>
          <w:sz w:val="24"/>
          <w:szCs w:val="24"/>
        </w:rPr>
        <w:t>Δελτίο Τύπου</w:t>
      </w:r>
    </w:p>
    <w:p w14:paraId="13AACA7C" w14:textId="77777777" w:rsidR="001A62CC" w:rsidRDefault="001A62CC" w:rsidP="001A62CC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</w:rPr>
      </w:pPr>
    </w:p>
    <w:p w14:paraId="3418229B" w14:textId="08A0A8C4" w:rsidR="00035A0E" w:rsidRPr="000E7EC5" w:rsidRDefault="00035A0E" w:rsidP="001A62CC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</w:rPr>
      </w:pPr>
      <w:r w:rsidRPr="000E7EC5">
        <w:rPr>
          <w:rFonts w:cs="Calibri"/>
          <w:b/>
          <w:color w:val="000000"/>
          <w:sz w:val="24"/>
          <w:szCs w:val="24"/>
        </w:rPr>
        <w:t>Την παράταση του «Ηρακλή» ενέκρινε η Ευρωπαϊκή Επιτροπή</w:t>
      </w:r>
    </w:p>
    <w:p w14:paraId="05B1F4CC" w14:textId="77777777" w:rsidR="001A62CC" w:rsidRPr="001A62CC" w:rsidRDefault="001A62CC" w:rsidP="001A62CC">
      <w:pPr>
        <w:spacing w:after="0" w:line="240" w:lineRule="auto"/>
        <w:jc w:val="both"/>
        <w:rPr>
          <w:rFonts w:cs="Calibri"/>
          <w:bCs/>
          <w:color w:val="000000"/>
        </w:rPr>
      </w:pPr>
    </w:p>
    <w:p w14:paraId="1708F5CD" w14:textId="77777777" w:rsidR="001A62CC" w:rsidRPr="001A62CC" w:rsidRDefault="001A62CC" w:rsidP="001A62CC">
      <w:pPr>
        <w:spacing w:after="0" w:line="240" w:lineRule="auto"/>
        <w:jc w:val="both"/>
        <w:rPr>
          <w:rFonts w:cs="Calibri"/>
          <w:bCs/>
          <w:color w:val="000000"/>
        </w:rPr>
      </w:pPr>
    </w:p>
    <w:p w14:paraId="58A9642D" w14:textId="77777777" w:rsidR="001A62CC" w:rsidRPr="001A62CC" w:rsidRDefault="00035A0E" w:rsidP="001A62CC">
      <w:pPr>
        <w:spacing w:after="0" w:line="240" w:lineRule="auto"/>
        <w:jc w:val="both"/>
        <w:rPr>
          <w:rFonts w:cs="Calibri"/>
          <w:bCs/>
          <w:iCs/>
        </w:rPr>
      </w:pPr>
      <w:r w:rsidRPr="001A62CC">
        <w:rPr>
          <w:rFonts w:cs="Calibri"/>
          <w:bCs/>
          <w:color w:val="000000"/>
        </w:rPr>
        <w:t>Την έγκρισή της έδωσε σήμερα η Ευρωπαϊκή Επιτροπή στην παράταση του «Ηρακλή» που στοχεύει στη δραστική μείωση των κόκκινων δανείων.</w:t>
      </w:r>
    </w:p>
    <w:p w14:paraId="20DAE785" w14:textId="77777777" w:rsidR="001A62CC" w:rsidRPr="001A62CC" w:rsidRDefault="001A62CC" w:rsidP="001A62CC">
      <w:pPr>
        <w:spacing w:after="0" w:line="240" w:lineRule="auto"/>
        <w:jc w:val="both"/>
        <w:rPr>
          <w:rFonts w:cs="Calibri"/>
          <w:bCs/>
          <w:iCs/>
        </w:rPr>
      </w:pPr>
    </w:p>
    <w:p w14:paraId="77CF7590" w14:textId="77777777" w:rsidR="001A62CC" w:rsidRDefault="00035A0E" w:rsidP="001A62CC">
      <w:pPr>
        <w:spacing w:after="0" w:line="240" w:lineRule="auto"/>
        <w:jc w:val="both"/>
        <w:rPr>
          <w:rFonts w:cs="Calibri"/>
          <w:bCs/>
          <w:iCs/>
        </w:rPr>
      </w:pPr>
      <w:r w:rsidRPr="001A62CC">
        <w:rPr>
          <w:rFonts w:cs="Calibri"/>
          <w:bCs/>
          <w:iCs/>
        </w:rPr>
        <w:t xml:space="preserve">Ο Υφυπουργός Οικονομικών, αρμόδιος για το χρηματοπιστωτικό σύστημα, </w:t>
      </w:r>
      <w:r w:rsidR="00AB71FD" w:rsidRPr="001A62CC">
        <w:rPr>
          <w:rFonts w:cs="Calibri"/>
          <w:bCs/>
          <w:iCs/>
        </w:rPr>
        <w:t xml:space="preserve">κ. </w:t>
      </w:r>
      <w:r w:rsidRPr="001A62CC">
        <w:rPr>
          <w:rFonts w:cs="Calibri"/>
          <w:iCs/>
          <w:color w:val="000000"/>
        </w:rPr>
        <w:t xml:space="preserve">Γιώργος </w:t>
      </w:r>
      <w:proofErr w:type="spellStart"/>
      <w:r w:rsidRPr="001A62CC">
        <w:rPr>
          <w:rFonts w:cs="Calibri"/>
          <w:iCs/>
        </w:rPr>
        <w:t>Ζαββός</w:t>
      </w:r>
      <w:proofErr w:type="spellEnd"/>
      <w:r w:rsidRPr="001A62CC">
        <w:rPr>
          <w:rFonts w:cs="Calibri"/>
          <w:bCs/>
          <w:iCs/>
        </w:rPr>
        <w:t xml:space="preserve"> δήλωσε</w:t>
      </w:r>
      <w:r w:rsidR="001A62CC">
        <w:rPr>
          <w:rFonts w:cs="Calibri"/>
          <w:bCs/>
          <w:iCs/>
        </w:rPr>
        <w:t>:</w:t>
      </w:r>
    </w:p>
    <w:p w14:paraId="68B6C1E9" w14:textId="529CE56C" w:rsidR="00035A0E" w:rsidRPr="001A62CC" w:rsidRDefault="00035A0E" w:rsidP="001A62CC">
      <w:pPr>
        <w:spacing w:after="0" w:line="240" w:lineRule="auto"/>
        <w:jc w:val="both"/>
        <w:rPr>
          <w:rFonts w:cs="Calibri"/>
          <w:bCs/>
          <w:iCs/>
        </w:rPr>
      </w:pPr>
      <w:r w:rsidRPr="001A62CC">
        <w:rPr>
          <w:rFonts w:cs="Calibri"/>
          <w:bCs/>
          <w:iCs/>
        </w:rPr>
        <w:t>«</w:t>
      </w:r>
      <w:r w:rsidRPr="001A62CC">
        <w:rPr>
          <w:rFonts w:cs="Calibri"/>
          <w:bCs/>
          <w:i/>
        </w:rPr>
        <w:t xml:space="preserve">Με τον “Ηρακλή ΙΙ” η Ελληνική </w:t>
      </w:r>
      <w:r w:rsidR="001A62CC">
        <w:rPr>
          <w:rFonts w:cs="Calibri"/>
          <w:bCs/>
          <w:i/>
        </w:rPr>
        <w:t>Κ</w:t>
      </w:r>
      <w:r w:rsidRPr="001A62CC">
        <w:rPr>
          <w:rFonts w:cs="Calibri"/>
          <w:bCs/>
          <w:i/>
        </w:rPr>
        <w:t xml:space="preserve">υβέρνηση σηματοδοτεί την αποφασιστικότητά της να συνεχίσει την επιτυχημένη μεταρρύθμιση του τραπεζικού συστήματος για τη μείωση των Μη Εξυπηρετούμενων Δανείων (ΜΕΔ). Οι τράπεζες απαλλάσσονται  από τον βραχνά των </w:t>
      </w:r>
      <w:r w:rsidR="001A62CC" w:rsidRPr="001A62CC">
        <w:rPr>
          <w:rFonts w:cs="Calibri"/>
          <w:bCs/>
          <w:i/>
        </w:rPr>
        <w:t>“</w:t>
      </w:r>
      <w:r w:rsidRPr="001A62CC">
        <w:rPr>
          <w:rFonts w:cs="Calibri"/>
          <w:bCs/>
          <w:i/>
        </w:rPr>
        <w:t>κόκκινων</w:t>
      </w:r>
      <w:r w:rsidR="001A62CC" w:rsidRPr="001A62CC">
        <w:rPr>
          <w:rFonts w:cs="Calibri"/>
          <w:bCs/>
          <w:i/>
        </w:rPr>
        <w:t>”</w:t>
      </w:r>
      <w:r w:rsidRPr="001A62CC">
        <w:rPr>
          <w:rFonts w:cs="Calibri"/>
          <w:bCs/>
          <w:i/>
        </w:rPr>
        <w:t xml:space="preserve"> δανείων και θα μπορούν να επιτελέσουν τον ρόλο τους, δηλ</w:t>
      </w:r>
      <w:r w:rsidR="00AB71FD" w:rsidRPr="001A62CC">
        <w:rPr>
          <w:rFonts w:cs="Calibri"/>
          <w:bCs/>
          <w:i/>
        </w:rPr>
        <w:t>αδή</w:t>
      </w:r>
      <w:r w:rsidRPr="001A62CC">
        <w:rPr>
          <w:rFonts w:cs="Calibri"/>
          <w:bCs/>
          <w:i/>
        </w:rPr>
        <w:t xml:space="preserve"> της χρηματοδότησης της ελληνικής οικονομίας, των επιχειρήσεων και των νοικοκυριών. Η μείωση των ΜΕΔ στηρίζεται στους επενδυτές και δεν επιβαρύνει τον Έλληνα φορολογούμενο. Έπειτα από μια μακρόχρονη και δύσκολη περίοδο το τραπεζικό σύστημα  γυρίζει σελίδα και μπορεί να προσβλέπει με αισιοδοξία σ</w:t>
      </w:r>
      <w:r w:rsidR="001A62CC">
        <w:rPr>
          <w:rFonts w:cs="Calibri"/>
          <w:bCs/>
          <w:i/>
        </w:rPr>
        <w:t>την επόμενη μέρα της πανδημίας.</w:t>
      </w:r>
    </w:p>
    <w:p w14:paraId="08F08BBF" w14:textId="77777777" w:rsidR="001A62CC" w:rsidRPr="001A62CC" w:rsidRDefault="001A62CC" w:rsidP="001A62CC">
      <w:pPr>
        <w:spacing w:after="0" w:line="240" w:lineRule="auto"/>
        <w:jc w:val="both"/>
        <w:rPr>
          <w:rFonts w:cs="Calibri"/>
          <w:bCs/>
          <w:i/>
        </w:rPr>
      </w:pPr>
    </w:p>
    <w:p w14:paraId="463A04DA" w14:textId="5CB8A9EA" w:rsidR="00035A0E" w:rsidRPr="001A62CC" w:rsidRDefault="00035A0E" w:rsidP="001A62CC">
      <w:pPr>
        <w:spacing w:after="0" w:line="240" w:lineRule="auto"/>
        <w:jc w:val="both"/>
        <w:rPr>
          <w:rFonts w:cs="Calibri"/>
          <w:bCs/>
          <w:i/>
        </w:rPr>
      </w:pPr>
      <w:r w:rsidRPr="001A62CC">
        <w:rPr>
          <w:rFonts w:cs="Calibri"/>
          <w:bCs/>
          <w:i/>
        </w:rPr>
        <w:t>Παράλληλα</w:t>
      </w:r>
      <w:r w:rsidR="001A62CC" w:rsidRPr="001A62CC">
        <w:rPr>
          <w:rFonts w:cs="Calibri"/>
          <w:bCs/>
          <w:i/>
        </w:rPr>
        <w:t>,</w:t>
      </w:r>
      <w:r w:rsidRPr="001A62CC">
        <w:rPr>
          <w:rFonts w:cs="Calibri"/>
          <w:bCs/>
          <w:i/>
        </w:rPr>
        <w:t xml:space="preserve"> ο </w:t>
      </w:r>
      <w:r w:rsidR="001A62CC" w:rsidRPr="001A62CC">
        <w:rPr>
          <w:rFonts w:cs="Calibri"/>
          <w:bCs/>
          <w:i/>
        </w:rPr>
        <w:t>“</w:t>
      </w:r>
      <w:r w:rsidRPr="001A62CC">
        <w:rPr>
          <w:rFonts w:cs="Calibri"/>
          <w:bCs/>
          <w:i/>
        </w:rPr>
        <w:t>Ηρακλής</w:t>
      </w:r>
      <w:r w:rsidR="001A62CC" w:rsidRPr="001A62CC">
        <w:rPr>
          <w:rFonts w:cs="Calibri"/>
          <w:bCs/>
          <w:i/>
        </w:rPr>
        <w:t>”</w:t>
      </w:r>
      <w:r w:rsidRPr="001A62CC">
        <w:rPr>
          <w:rFonts w:cs="Calibri"/>
          <w:bCs/>
          <w:i/>
        </w:rPr>
        <w:t xml:space="preserve"> συμβάλλει σημαντικά στον εκσυγχρονισμό των ελληνικών τραπεζών</w:t>
      </w:r>
      <w:r w:rsidR="001A62CC">
        <w:rPr>
          <w:rFonts w:cs="Calibri"/>
          <w:bCs/>
          <w:i/>
        </w:rPr>
        <w:t>,</w:t>
      </w:r>
      <w:r w:rsidRPr="001A62CC">
        <w:rPr>
          <w:rFonts w:cs="Calibri"/>
          <w:bCs/>
          <w:i/>
        </w:rPr>
        <w:t xml:space="preserve"> που  θα πρέπει να είναι εγκαίρως προετοιμασμένες ώστε να μεταφέρουν αποτελεσματικά τους  σημαντικούς πόρους του Ταμείου Ανάκαμψης στις παραγωγικές επενδύσεις που χρειάζεται η πραγματική οικονομία. Μόνο έτσι μπορεί να επιτευχθεί ο διπλός μετασχηματισμός που χρειάζεται η ελληνική οικονομία</w:t>
      </w:r>
      <w:r w:rsidR="001A62CC">
        <w:rPr>
          <w:rFonts w:cs="Calibri"/>
          <w:bCs/>
          <w:i/>
        </w:rPr>
        <w:t>,</w:t>
      </w:r>
      <w:r w:rsidRPr="001A62CC">
        <w:rPr>
          <w:rFonts w:cs="Calibri"/>
          <w:bCs/>
          <w:i/>
        </w:rPr>
        <w:t xml:space="preserve"> δηλ</w:t>
      </w:r>
      <w:r w:rsidR="00AB71FD" w:rsidRPr="001A62CC">
        <w:rPr>
          <w:rFonts w:cs="Calibri"/>
          <w:bCs/>
          <w:i/>
        </w:rPr>
        <w:t xml:space="preserve">αδή </w:t>
      </w:r>
      <w:r w:rsidRPr="001A62CC">
        <w:rPr>
          <w:rFonts w:cs="Calibri"/>
          <w:bCs/>
          <w:i/>
        </w:rPr>
        <w:t>τόσο της βάσης του παραγωγικού ιστού όσο και του ιδίου του  τραπεζικού σ</w:t>
      </w:r>
      <w:r w:rsidR="001A62CC">
        <w:rPr>
          <w:rFonts w:cs="Calibri"/>
          <w:bCs/>
          <w:i/>
        </w:rPr>
        <w:t>υστήματος.</w:t>
      </w:r>
    </w:p>
    <w:p w14:paraId="0F2DDB3B" w14:textId="77777777" w:rsidR="001A62CC" w:rsidRPr="001A62CC" w:rsidRDefault="001A62CC" w:rsidP="001A62CC">
      <w:pPr>
        <w:spacing w:after="0" w:line="240" w:lineRule="auto"/>
        <w:jc w:val="both"/>
        <w:rPr>
          <w:rFonts w:cs="Calibri"/>
          <w:bCs/>
          <w:i/>
        </w:rPr>
      </w:pPr>
    </w:p>
    <w:p w14:paraId="3AD8E6AD" w14:textId="4B19283D" w:rsidR="00035A0E" w:rsidRPr="001A62CC" w:rsidRDefault="00035A0E" w:rsidP="001A62CC">
      <w:pPr>
        <w:spacing w:after="0" w:line="240" w:lineRule="auto"/>
        <w:jc w:val="both"/>
        <w:rPr>
          <w:rFonts w:cs="Calibri"/>
          <w:bCs/>
          <w:iCs/>
        </w:rPr>
      </w:pPr>
      <w:r w:rsidRPr="001A62CC">
        <w:rPr>
          <w:rFonts w:cs="Calibri"/>
          <w:bCs/>
          <w:i/>
        </w:rPr>
        <w:t xml:space="preserve">Ο </w:t>
      </w:r>
      <w:r w:rsidR="001A62CC" w:rsidRPr="001A62CC">
        <w:rPr>
          <w:rFonts w:cs="Calibri"/>
          <w:bCs/>
          <w:i/>
        </w:rPr>
        <w:t>“</w:t>
      </w:r>
      <w:r w:rsidRPr="001A62CC">
        <w:rPr>
          <w:rFonts w:cs="Calibri"/>
          <w:bCs/>
          <w:i/>
        </w:rPr>
        <w:t>Ηρακλή</w:t>
      </w:r>
      <w:r w:rsidR="00AE1AC1" w:rsidRPr="001A62CC">
        <w:rPr>
          <w:rFonts w:cs="Calibri"/>
          <w:bCs/>
          <w:i/>
        </w:rPr>
        <w:t>ς</w:t>
      </w:r>
      <w:r w:rsidR="001A62CC" w:rsidRPr="001A62CC">
        <w:rPr>
          <w:rFonts w:cs="Calibri"/>
          <w:bCs/>
          <w:i/>
        </w:rPr>
        <w:t>”</w:t>
      </w:r>
      <w:r w:rsidRPr="001A62CC">
        <w:rPr>
          <w:rFonts w:cs="Calibri"/>
          <w:bCs/>
          <w:i/>
        </w:rPr>
        <w:t xml:space="preserve"> αποτελεί απτή απόδειξη της υλοποίησης σε χρόνους ρεκόρ των </w:t>
      </w:r>
      <w:proofErr w:type="spellStart"/>
      <w:r w:rsidRPr="001A62CC">
        <w:rPr>
          <w:rFonts w:cs="Calibri"/>
          <w:bCs/>
          <w:i/>
        </w:rPr>
        <w:t>εμπροσθοβαρών</w:t>
      </w:r>
      <w:proofErr w:type="spellEnd"/>
      <w:r w:rsidRPr="001A62CC">
        <w:rPr>
          <w:rFonts w:cs="Calibri"/>
          <w:bCs/>
          <w:i/>
        </w:rPr>
        <w:t xml:space="preserve"> μεταρρυθμίσεων που επαγγέλθηκε ο Πρωθυπουργός και η </w:t>
      </w:r>
      <w:r w:rsidR="001A62CC">
        <w:rPr>
          <w:rFonts w:cs="Calibri"/>
          <w:bCs/>
          <w:i/>
        </w:rPr>
        <w:t>Κ</w:t>
      </w:r>
      <w:r w:rsidRPr="001A62CC">
        <w:rPr>
          <w:rFonts w:cs="Calibri"/>
          <w:bCs/>
          <w:i/>
        </w:rPr>
        <w:t xml:space="preserve">υβέρνηση. Είναι το αποτέλεσμα της σκληρής δουλειάς του οικονομικού επιτελείου της </w:t>
      </w:r>
      <w:r w:rsidR="001A62CC">
        <w:rPr>
          <w:rFonts w:cs="Calibri"/>
          <w:bCs/>
          <w:i/>
        </w:rPr>
        <w:t>Κ</w:t>
      </w:r>
      <w:r w:rsidRPr="001A62CC">
        <w:rPr>
          <w:rFonts w:cs="Calibri"/>
          <w:bCs/>
          <w:i/>
        </w:rPr>
        <w:t>υβέρνησης σε στενή συνεργασία και με τον συντ</w:t>
      </w:r>
      <w:r w:rsidR="001A62CC">
        <w:rPr>
          <w:rFonts w:cs="Calibri"/>
          <w:bCs/>
          <w:i/>
        </w:rPr>
        <w:t>ονισμό του Υπουργού Οικονομικών</w:t>
      </w:r>
      <w:r w:rsidRPr="001A62CC">
        <w:rPr>
          <w:rFonts w:cs="Calibri"/>
          <w:bCs/>
          <w:iCs/>
        </w:rPr>
        <w:t>».</w:t>
      </w:r>
    </w:p>
    <w:p w14:paraId="6D402CCA" w14:textId="77777777" w:rsidR="001A62CC" w:rsidRPr="001A62CC" w:rsidRDefault="001A62CC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E165FA1" w14:textId="1D4CCF38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A62CC">
        <w:rPr>
          <w:rFonts w:asciiTheme="minorHAnsi" w:hAnsiTheme="minorHAnsi" w:cstheme="minorHAnsi"/>
          <w:sz w:val="22"/>
          <w:szCs w:val="22"/>
        </w:rPr>
        <w:t>Όπως δήλωσε η Εκτελεστική Αντιπρόεδρος</w:t>
      </w:r>
      <w:r w:rsidR="00AE1AC1" w:rsidRPr="001A62CC">
        <w:rPr>
          <w:rFonts w:asciiTheme="minorHAnsi" w:hAnsiTheme="minorHAnsi" w:cstheme="minorHAnsi"/>
          <w:sz w:val="22"/>
          <w:szCs w:val="22"/>
        </w:rPr>
        <w:t xml:space="preserve"> της Ευρωπαϊκής Επιτροπής</w:t>
      </w:r>
      <w:r w:rsidR="001A62CC">
        <w:rPr>
          <w:rFonts w:asciiTheme="minorHAnsi" w:hAnsiTheme="minorHAnsi" w:cstheme="minorHAnsi"/>
          <w:sz w:val="22"/>
          <w:szCs w:val="22"/>
        </w:rPr>
        <w:t>,</w:t>
      </w:r>
      <w:r w:rsidRPr="001A62CC">
        <w:rPr>
          <w:rFonts w:asciiTheme="minorHAnsi" w:hAnsiTheme="minorHAnsi" w:cstheme="minorHAnsi"/>
          <w:sz w:val="22"/>
          <w:szCs w:val="22"/>
        </w:rPr>
        <w:t xml:space="preserve"> αρμόδια </w:t>
      </w:r>
      <w:r w:rsidR="00AE1AC1" w:rsidRPr="001A62CC">
        <w:rPr>
          <w:rFonts w:asciiTheme="minorHAnsi" w:hAnsiTheme="minorHAnsi" w:cstheme="minorHAnsi"/>
          <w:sz w:val="22"/>
          <w:szCs w:val="22"/>
        </w:rPr>
        <w:t xml:space="preserve">και </w:t>
      </w:r>
      <w:r w:rsidRPr="001A62CC">
        <w:rPr>
          <w:rFonts w:asciiTheme="minorHAnsi" w:hAnsiTheme="minorHAnsi" w:cstheme="minorHAnsi"/>
          <w:sz w:val="22"/>
          <w:szCs w:val="22"/>
        </w:rPr>
        <w:t xml:space="preserve">για τον Ανταγωνισμό, </w:t>
      </w:r>
      <w:r w:rsidR="00AB71FD" w:rsidRPr="001A62CC">
        <w:rPr>
          <w:rFonts w:asciiTheme="minorHAnsi" w:hAnsiTheme="minorHAnsi" w:cstheme="minorHAnsi"/>
          <w:sz w:val="22"/>
          <w:szCs w:val="22"/>
        </w:rPr>
        <w:t xml:space="preserve">κα. </w:t>
      </w:r>
      <w:r w:rsidRPr="001A62CC">
        <w:rPr>
          <w:rFonts w:asciiTheme="minorHAnsi" w:hAnsiTheme="minorHAnsi" w:cstheme="minorHAnsi"/>
          <w:sz w:val="22"/>
          <w:szCs w:val="22"/>
          <w:lang w:val="en-US"/>
        </w:rPr>
        <w:t>Margrethe</w:t>
      </w:r>
      <w:r w:rsidRPr="001A62C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A62CC">
        <w:rPr>
          <w:rFonts w:asciiTheme="minorHAnsi" w:hAnsiTheme="minorHAnsi" w:cstheme="minorHAnsi"/>
          <w:sz w:val="22"/>
          <w:szCs w:val="22"/>
          <w:lang w:val="en-US"/>
        </w:rPr>
        <w:t>Vestager</w:t>
      </w:r>
      <w:proofErr w:type="spellEnd"/>
      <w:r w:rsidRPr="001A62CC">
        <w:rPr>
          <w:rFonts w:asciiTheme="minorHAnsi" w:hAnsiTheme="minorHAnsi" w:cstheme="minorHAnsi"/>
          <w:sz w:val="22"/>
          <w:szCs w:val="22"/>
        </w:rPr>
        <w:t>: «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Καλωσορίζω την παράταση του Σχήματος 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“</w:t>
      </w:r>
      <w:r w:rsidRPr="001A62CC">
        <w:rPr>
          <w:rFonts w:asciiTheme="minorHAnsi" w:hAnsiTheme="minorHAnsi" w:cstheme="minorHAnsi"/>
          <w:i/>
          <w:sz w:val="22"/>
          <w:szCs w:val="22"/>
        </w:rPr>
        <w:t>Ηρακλής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”</w:t>
      </w:r>
      <w:r w:rsidRPr="001A62CC">
        <w:rPr>
          <w:rFonts w:asciiTheme="minorHAnsi" w:hAnsiTheme="minorHAnsi" w:cstheme="minorHAnsi"/>
          <w:i/>
          <w:sz w:val="22"/>
          <w:szCs w:val="22"/>
        </w:rPr>
        <w:t>, το οποίο έχει υπάρξει ήδη πολύ επιτυχημένο στο να παράσχει στις ελληνικές τράπεζες μία λύση, με όρους αγοράς, για την απαλλαγή των ισολογισμών τους από τα μη εξυπηρετούμενα δάνεια</w:t>
      </w:r>
      <w:r w:rsidRPr="001A62CC">
        <w:rPr>
          <w:rFonts w:asciiTheme="minorHAnsi" w:hAnsiTheme="minorHAnsi" w:cstheme="minorHAnsi"/>
          <w:sz w:val="22"/>
          <w:szCs w:val="22"/>
        </w:rPr>
        <w:t xml:space="preserve">, </w:t>
      </w:r>
      <w:r w:rsidRPr="001A62CC">
        <w:rPr>
          <w:rFonts w:asciiTheme="minorHAnsi" w:hAnsiTheme="minorHAnsi" w:cstheme="minorHAnsi"/>
          <w:i/>
          <w:sz w:val="22"/>
          <w:szCs w:val="22"/>
        </w:rPr>
        <w:t>χωρίς αυτό να αντιβαίνει στους κανόνες περί κρατικών ενισχύσεων ή να στρεβλώνει τον ανταγωνισμό. Με τον τρόπο αυτό, οι ελληνικές τράπεζες μπορούν να συμβάλλουν πλήρως στην ανάκαμψη της ελληνικής οικονομίας».</w:t>
      </w:r>
    </w:p>
    <w:p w14:paraId="2B5F62BB" w14:textId="77777777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55B5F1A" w14:textId="33A480C5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A62CC">
        <w:rPr>
          <w:rFonts w:asciiTheme="minorHAnsi" w:hAnsiTheme="minorHAnsi" w:cstheme="minorHAnsi"/>
          <w:sz w:val="22"/>
          <w:szCs w:val="22"/>
        </w:rPr>
        <w:t>Όπως αναφέρει η Ευρωπαϊκή Επιτροπή: «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Από την εισαγωγή του Σχήματος 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“</w:t>
      </w:r>
      <w:r w:rsidRPr="001A62CC">
        <w:rPr>
          <w:rFonts w:asciiTheme="minorHAnsi" w:hAnsiTheme="minorHAnsi" w:cstheme="minorHAnsi"/>
          <w:i/>
          <w:sz w:val="22"/>
          <w:szCs w:val="22"/>
        </w:rPr>
        <w:t>Ηρακλής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”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 τον Οκτώβριο του 2019, οι ελληνικές τράπεζες έχουν κάνει σημαντική πρόοδο στη μείωση του αποθέματος των μη εξυπηρετούμενων δανείων. Ειδικότερα, η Ελλάδα εκτιμά ότι</w:t>
      </w:r>
      <w:r w:rsidR="00AB71FD" w:rsidRPr="001A62CC">
        <w:rPr>
          <w:rFonts w:asciiTheme="minorHAnsi" w:hAnsiTheme="minorHAnsi" w:cstheme="minorHAnsi"/>
          <w:i/>
          <w:sz w:val="22"/>
          <w:szCs w:val="22"/>
        </w:rPr>
        <w:t>,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 ως αποτέλεσμα της εφαρμογής του 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“</w:t>
      </w:r>
      <w:r w:rsidRPr="001A62CC">
        <w:rPr>
          <w:rFonts w:asciiTheme="minorHAnsi" w:hAnsiTheme="minorHAnsi" w:cstheme="minorHAnsi"/>
          <w:i/>
          <w:sz w:val="22"/>
          <w:szCs w:val="22"/>
        </w:rPr>
        <w:t>Ηρακλή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”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, ο δείκτης μη εξυπηρετούμενων δανείων θα έχει υποχωρήσει, από το 43% στο τέλος του 2019, στο 27% στα τέλη Μαρτίου 2021. Η παράταση του Σχήματος για άλλους δεκαοκτώ (18) μήνες θα βασιστεί στις επιτυχίες που έχει καταγράψει μέχρι σήμερα, καθώς στην πρώτη περίοδο εφαρμογής του 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“</w:t>
      </w:r>
      <w:r w:rsidRPr="001A62CC">
        <w:rPr>
          <w:rFonts w:asciiTheme="minorHAnsi" w:hAnsiTheme="minorHAnsi" w:cstheme="minorHAnsi"/>
          <w:i/>
          <w:sz w:val="22"/>
          <w:szCs w:val="22"/>
        </w:rPr>
        <w:t>Ηρακλή</w:t>
      </w:r>
      <w:r w:rsidR="001A62CC" w:rsidRPr="001A62CC">
        <w:rPr>
          <w:rFonts w:asciiTheme="minorHAnsi" w:hAnsiTheme="minorHAnsi" w:cstheme="minorHAnsi"/>
          <w:i/>
          <w:sz w:val="22"/>
          <w:szCs w:val="22"/>
        </w:rPr>
        <w:t>”</w:t>
      </w:r>
      <w:r w:rsidRPr="001A62CC">
        <w:rPr>
          <w:rFonts w:asciiTheme="minorHAnsi" w:hAnsiTheme="minorHAnsi" w:cstheme="minorHAnsi"/>
          <w:i/>
          <w:sz w:val="22"/>
          <w:szCs w:val="22"/>
        </w:rPr>
        <w:t xml:space="preserve"> οι τράπεζες υπέβαλαν αιτήσεις συμμετοχής  για </w:t>
      </w:r>
      <w:proofErr w:type="spellStart"/>
      <w:r w:rsidRPr="001A62CC">
        <w:rPr>
          <w:rFonts w:asciiTheme="minorHAnsi" w:hAnsiTheme="minorHAnsi" w:cstheme="minorHAnsi"/>
          <w:i/>
          <w:sz w:val="22"/>
          <w:szCs w:val="22"/>
        </w:rPr>
        <w:t>τιτλοποιήσεις</w:t>
      </w:r>
      <w:proofErr w:type="spellEnd"/>
      <w:r w:rsidRPr="001A62CC">
        <w:rPr>
          <w:rFonts w:asciiTheme="minorHAnsi" w:hAnsiTheme="minorHAnsi" w:cstheme="minorHAnsi"/>
          <w:i/>
          <w:sz w:val="22"/>
          <w:szCs w:val="22"/>
        </w:rPr>
        <w:t>, συνολικής λογιστικής αξίας, 31,3 δι</w:t>
      </w:r>
      <w:r w:rsidR="001A62CC">
        <w:rPr>
          <w:rFonts w:asciiTheme="minorHAnsi" w:hAnsiTheme="minorHAnsi" w:cstheme="minorHAnsi"/>
          <w:i/>
          <w:sz w:val="22"/>
          <w:szCs w:val="22"/>
        </w:rPr>
        <w:t>σ</w:t>
      </w:r>
      <w:r w:rsidRPr="001A62CC">
        <w:rPr>
          <w:rFonts w:asciiTheme="minorHAnsi" w:hAnsiTheme="minorHAnsi" w:cstheme="minorHAnsi"/>
          <w:i/>
          <w:sz w:val="22"/>
          <w:szCs w:val="22"/>
        </w:rPr>
        <w:t>. ευρώ».</w:t>
      </w:r>
    </w:p>
    <w:p w14:paraId="1D5C20A5" w14:textId="77777777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25D1642" w14:textId="791ADFCB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1A62CC">
        <w:rPr>
          <w:rFonts w:ascii="Calibri" w:hAnsi="Calibri" w:cs="Calibri"/>
          <w:color w:val="000000"/>
          <w:sz w:val="22"/>
          <w:szCs w:val="22"/>
        </w:rPr>
        <w:t>Η έγκριση της παράτασης του «Ηρακλή» αφορά σε περίοδο 18 μηνών, ήτοι από τον Απρίλιο του 2021 μέχρι τον Οκτώβριο του 2022</w:t>
      </w:r>
      <w:r w:rsidRPr="001A62CC">
        <w:rPr>
          <w:rFonts w:ascii="Calibri" w:hAnsi="Calibri" w:cs="Calibri"/>
          <w:sz w:val="22"/>
          <w:szCs w:val="22"/>
        </w:rPr>
        <w:t>.</w:t>
      </w:r>
      <w:r w:rsidRPr="001A62CC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1A62CC">
        <w:rPr>
          <w:rFonts w:ascii="Calibri" w:hAnsi="Calibri" w:cs="Calibri"/>
          <w:color w:val="000000"/>
          <w:sz w:val="22"/>
          <w:szCs w:val="22"/>
        </w:rPr>
        <w:t xml:space="preserve">Στο χρονικό αυτό διάστημα, ο «Ηρακλής ΙΙ» στοχεύει σε περαιτέρω </w:t>
      </w:r>
      <w:proofErr w:type="spellStart"/>
      <w:r w:rsidRPr="001A62CC">
        <w:rPr>
          <w:rFonts w:ascii="Calibri" w:hAnsi="Calibri" w:cs="Calibri"/>
          <w:color w:val="000000"/>
          <w:sz w:val="22"/>
          <w:szCs w:val="22"/>
        </w:rPr>
        <w:t>απομείωση</w:t>
      </w:r>
      <w:proofErr w:type="spellEnd"/>
      <w:r w:rsidRPr="001A62CC">
        <w:rPr>
          <w:rFonts w:ascii="Calibri" w:hAnsi="Calibri" w:cs="Calibri"/>
          <w:color w:val="000000"/>
          <w:sz w:val="22"/>
          <w:szCs w:val="22"/>
        </w:rPr>
        <w:t xml:space="preserve"> των ΜΕΔ των ελληνικών τραπεζών κατά το ποσό των 30 – 32 δι</w:t>
      </w:r>
      <w:r w:rsidR="001A62CC">
        <w:rPr>
          <w:rFonts w:ascii="Calibri" w:hAnsi="Calibri" w:cs="Calibri"/>
          <w:color w:val="000000"/>
          <w:sz w:val="22"/>
          <w:szCs w:val="22"/>
        </w:rPr>
        <w:t>σ</w:t>
      </w:r>
      <w:r w:rsidRPr="001A62CC">
        <w:rPr>
          <w:rFonts w:ascii="Calibri" w:hAnsi="Calibri" w:cs="Calibri"/>
          <w:color w:val="000000"/>
          <w:sz w:val="22"/>
          <w:szCs w:val="22"/>
        </w:rPr>
        <w:t>. ευρώ, δηλ</w:t>
      </w:r>
      <w:r w:rsidR="00AB71FD" w:rsidRPr="001A62CC">
        <w:rPr>
          <w:rFonts w:ascii="Calibri" w:hAnsi="Calibri" w:cs="Calibri"/>
          <w:color w:val="000000"/>
          <w:sz w:val="22"/>
          <w:szCs w:val="22"/>
        </w:rPr>
        <w:t>αδή</w:t>
      </w:r>
      <w:r w:rsidRPr="001A62CC">
        <w:rPr>
          <w:rFonts w:ascii="Calibri" w:hAnsi="Calibri" w:cs="Calibri"/>
          <w:color w:val="000000"/>
          <w:sz w:val="22"/>
          <w:szCs w:val="22"/>
        </w:rPr>
        <w:t xml:space="preserve"> σε επίτευξη μονοψήφιου ποσοστού ΜΕΔ και για τις τέσσερις </w:t>
      </w:r>
      <w:proofErr w:type="spellStart"/>
      <w:r w:rsidRPr="001A62CC">
        <w:rPr>
          <w:rFonts w:ascii="Calibri" w:hAnsi="Calibri" w:cs="Calibri"/>
          <w:color w:val="000000"/>
          <w:sz w:val="22"/>
          <w:szCs w:val="22"/>
        </w:rPr>
        <w:t>συστημικές</w:t>
      </w:r>
      <w:proofErr w:type="spellEnd"/>
      <w:r w:rsidRPr="001A62CC">
        <w:rPr>
          <w:rFonts w:ascii="Calibri" w:hAnsi="Calibri" w:cs="Calibri"/>
          <w:color w:val="000000"/>
          <w:sz w:val="22"/>
          <w:szCs w:val="22"/>
        </w:rPr>
        <w:t xml:space="preserve"> τράπεζες</w:t>
      </w:r>
      <w:r w:rsidR="001A62CC">
        <w:rPr>
          <w:rFonts w:ascii="Calibri" w:hAnsi="Calibri" w:cs="Calibri"/>
          <w:color w:val="000000"/>
          <w:sz w:val="22"/>
          <w:szCs w:val="22"/>
        </w:rPr>
        <w:t>,</w:t>
      </w:r>
      <w:r w:rsidRPr="001A62CC">
        <w:rPr>
          <w:rFonts w:ascii="Calibri" w:hAnsi="Calibri" w:cs="Calibri"/>
          <w:color w:val="000000"/>
          <w:sz w:val="22"/>
          <w:szCs w:val="22"/>
        </w:rPr>
        <w:t xml:space="preserve"> ήδη από το τρέχον έτος για κάποιες, και με βεβαιότητα για όλες εντός του 2022, συγκλίνοντας έτσι  με τον μέσο ευρωπαϊκό όρο ΜΕΔ μέ</w:t>
      </w:r>
      <w:r w:rsidR="001A62CC">
        <w:rPr>
          <w:rFonts w:ascii="Calibri" w:hAnsi="Calibri" w:cs="Calibri"/>
          <w:color w:val="000000"/>
          <w:sz w:val="22"/>
          <w:szCs w:val="22"/>
        </w:rPr>
        <w:t>χρι τα τέλη του επόμενου έτους.</w:t>
      </w:r>
    </w:p>
    <w:p w14:paraId="782BC448" w14:textId="77777777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215E3FC" w14:textId="51673803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1A62CC">
        <w:rPr>
          <w:rFonts w:ascii="Calibri" w:hAnsi="Calibri" w:cs="Calibri"/>
          <w:color w:val="000000"/>
          <w:sz w:val="22"/>
          <w:szCs w:val="22"/>
        </w:rPr>
        <w:t>Όπως και στην περίπτωση του «Ηρακλή Ι»</w:t>
      </w:r>
      <w:r w:rsidR="001A62CC">
        <w:rPr>
          <w:rFonts w:ascii="Calibri" w:hAnsi="Calibri" w:cs="Calibri"/>
          <w:color w:val="000000"/>
          <w:sz w:val="22"/>
          <w:szCs w:val="22"/>
        </w:rPr>
        <w:t>,</w:t>
      </w:r>
      <w:r w:rsidRPr="001A62CC">
        <w:rPr>
          <w:rFonts w:ascii="Calibri" w:hAnsi="Calibri" w:cs="Calibri"/>
          <w:color w:val="000000"/>
          <w:sz w:val="22"/>
          <w:szCs w:val="22"/>
        </w:rPr>
        <w:t xml:space="preserve"> το Ελληνικό Δημόσιο θα παράσχει εγγυήσεις 12 </w:t>
      </w:r>
      <w:r w:rsidR="00AB71FD" w:rsidRPr="001A62CC">
        <w:rPr>
          <w:rFonts w:ascii="Calibri" w:hAnsi="Calibri" w:cs="Calibri"/>
          <w:color w:val="000000"/>
          <w:sz w:val="22"/>
          <w:szCs w:val="22"/>
        </w:rPr>
        <w:t>δισ.</w:t>
      </w:r>
      <w:r w:rsidRPr="001A62CC">
        <w:rPr>
          <w:rFonts w:ascii="Calibri" w:hAnsi="Calibri" w:cs="Calibri"/>
          <w:color w:val="000000"/>
          <w:sz w:val="22"/>
          <w:szCs w:val="22"/>
        </w:rPr>
        <w:t xml:space="preserve"> ευρώ στις υψηλής προεξοφλητικής προτεραιότητας ομολογίες των </w:t>
      </w:r>
      <w:proofErr w:type="spellStart"/>
      <w:r w:rsidRPr="001A62CC">
        <w:rPr>
          <w:rFonts w:ascii="Calibri" w:hAnsi="Calibri" w:cs="Calibri"/>
          <w:color w:val="000000"/>
          <w:sz w:val="22"/>
          <w:szCs w:val="22"/>
        </w:rPr>
        <w:t>τιτλοποιήσεων</w:t>
      </w:r>
      <w:proofErr w:type="spellEnd"/>
      <w:r w:rsidRPr="001A62CC">
        <w:rPr>
          <w:rFonts w:ascii="Calibri" w:hAnsi="Calibri" w:cs="Calibri"/>
          <w:color w:val="000000"/>
          <w:sz w:val="22"/>
          <w:szCs w:val="22"/>
        </w:rPr>
        <w:t xml:space="preserve"> το οποίο αποτελεί και το πλέ</w:t>
      </w:r>
      <w:r w:rsidR="001A62CC">
        <w:rPr>
          <w:rFonts w:ascii="Calibri" w:hAnsi="Calibri" w:cs="Calibri"/>
          <w:color w:val="000000"/>
          <w:sz w:val="22"/>
          <w:szCs w:val="22"/>
        </w:rPr>
        <w:t>ον ασφαλές μέρος της συναλλαγής</w:t>
      </w:r>
      <w:r w:rsidRPr="001A62CC">
        <w:rPr>
          <w:rFonts w:ascii="Calibri" w:hAnsi="Calibri" w:cs="Calibri"/>
          <w:color w:val="000000"/>
          <w:sz w:val="22"/>
          <w:szCs w:val="22"/>
        </w:rPr>
        <w:t>.</w:t>
      </w:r>
    </w:p>
    <w:p w14:paraId="5CD80EB1" w14:textId="77777777" w:rsidR="00035A0E" w:rsidRPr="001A62CC" w:rsidRDefault="00035A0E" w:rsidP="001A62CC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7B87577" w14:textId="4491F0C5" w:rsidR="00035A0E" w:rsidRPr="001A62CC" w:rsidRDefault="001A62CC" w:rsidP="001A62CC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el-GR"/>
        </w:rPr>
      </w:pPr>
      <w:r>
        <w:rPr>
          <w:rFonts w:cs="Calibri"/>
          <w:color w:val="000000"/>
        </w:rPr>
        <w:t>Στην πρώτη περίοδο</w:t>
      </w:r>
      <w:r w:rsidR="00035A0E" w:rsidRPr="001A62CC">
        <w:rPr>
          <w:rFonts w:cs="Calibri"/>
          <w:color w:val="000000"/>
        </w:rPr>
        <w:t xml:space="preserve"> λειτουργίας του «Ηρακλή»</w:t>
      </w:r>
      <w:r>
        <w:rPr>
          <w:rFonts w:cs="Calibri"/>
          <w:color w:val="000000"/>
        </w:rPr>
        <w:t xml:space="preserve"> </w:t>
      </w:r>
      <w:r w:rsidR="00035A0E" w:rsidRPr="001A62CC">
        <w:rPr>
          <w:rFonts w:cs="Calibri"/>
          <w:color w:val="000000"/>
        </w:rPr>
        <w:t>(Δεκέμβριος 2019-Απριλιος 2021)</w:t>
      </w:r>
      <w:r>
        <w:rPr>
          <w:rFonts w:cs="Calibri"/>
          <w:color w:val="000000"/>
        </w:rPr>
        <w:t>,</w:t>
      </w:r>
      <w:r w:rsidR="00035A0E" w:rsidRPr="001A62CC">
        <w:rPr>
          <w:rFonts w:cs="Calibri"/>
          <w:color w:val="000000"/>
        </w:rPr>
        <w:t xml:space="preserve"> τα μη εξυπηρετούμενα δάνεια των τεσσάρων </w:t>
      </w:r>
      <w:proofErr w:type="spellStart"/>
      <w:r w:rsidR="00035A0E" w:rsidRPr="001A62CC">
        <w:rPr>
          <w:rFonts w:cs="Calibri"/>
          <w:color w:val="000000"/>
        </w:rPr>
        <w:t>συστημικών</w:t>
      </w:r>
      <w:proofErr w:type="spellEnd"/>
      <w:r w:rsidR="00035A0E" w:rsidRPr="001A62CC">
        <w:rPr>
          <w:rFonts w:cs="Calibri"/>
          <w:color w:val="000000"/>
        </w:rPr>
        <w:t xml:space="preserve"> τραπεζών </w:t>
      </w:r>
      <w:proofErr w:type="spellStart"/>
      <w:r w:rsidR="00035A0E" w:rsidRPr="001A62CC">
        <w:rPr>
          <w:rFonts w:cs="Calibri"/>
          <w:color w:val="000000"/>
        </w:rPr>
        <w:t>απομειώθηκαν</w:t>
      </w:r>
      <w:proofErr w:type="spellEnd"/>
      <w:r w:rsidR="00035A0E" w:rsidRPr="001A62CC">
        <w:rPr>
          <w:rFonts w:cs="Calibri"/>
          <w:color w:val="000000"/>
        </w:rPr>
        <w:t xml:space="preserve"> κατά 31,35 δι</w:t>
      </w:r>
      <w:r>
        <w:rPr>
          <w:rFonts w:cs="Calibri"/>
          <w:color w:val="000000"/>
        </w:rPr>
        <w:t>σ</w:t>
      </w:r>
      <w:r w:rsidR="00035A0E" w:rsidRPr="001A62CC">
        <w:rPr>
          <w:rFonts w:cs="Calibri"/>
          <w:color w:val="000000"/>
        </w:rPr>
        <w:t>. ευρώ. Αναλυτικά, σ</w:t>
      </w:r>
      <w:r w:rsidR="00035A0E" w:rsidRPr="001A62CC">
        <w:rPr>
          <w:rFonts w:eastAsia="Times New Roman" w:cs="Calibri"/>
          <w:color w:val="000000"/>
          <w:lang w:eastAsia="el-GR"/>
        </w:rPr>
        <w:t>τον «Ηρακλή Ι» συμμετείχαν:</w:t>
      </w:r>
    </w:p>
    <w:p w14:paraId="2A7F35EA" w14:textId="77777777" w:rsidR="00035A0E" w:rsidRPr="001A62CC" w:rsidRDefault="00035A0E" w:rsidP="001A62C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eastAsia="Times New Roman" w:cs="Calibri"/>
          <w:color w:val="000000"/>
          <w:lang w:eastAsia="el-GR"/>
        </w:rPr>
      </w:pPr>
      <w:r w:rsidRPr="001A62CC">
        <w:rPr>
          <w:rFonts w:eastAsia="Times New Roman" w:cs="Calibri"/>
          <w:color w:val="000000"/>
          <w:lang w:eastAsia="el-GR"/>
        </w:rPr>
        <w:t xml:space="preserve">η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Alpha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Bank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με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τιτλοποιήσεις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ύψους  € 10,8 δισ.,</w:t>
      </w:r>
    </w:p>
    <w:p w14:paraId="6D442A1F" w14:textId="77777777" w:rsidR="00035A0E" w:rsidRPr="001A62CC" w:rsidRDefault="00035A0E" w:rsidP="001A62C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eastAsia="Times New Roman" w:cs="Calibri"/>
          <w:color w:val="000000"/>
          <w:lang w:eastAsia="el-GR"/>
        </w:rPr>
      </w:pPr>
      <w:r w:rsidRPr="001A62CC">
        <w:rPr>
          <w:rFonts w:eastAsia="Times New Roman" w:cs="Calibri"/>
          <w:color w:val="000000"/>
          <w:lang w:eastAsia="el-GR"/>
        </w:rPr>
        <w:t xml:space="preserve">η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Eurobank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με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τιτλοποιήσεις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ύψους € 7,5 δισ.,</w:t>
      </w:r>
    </w:p>
    <w:p w14:paraId="6B10D87A" w14:textId="77777777" w:rsidR="00035A0E" w:rsidRPr="001A62CC" w:rsidRDefault="00035A0E" w:rsidP="001A62C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eastAsia="Times New Roman" w:cs="Calibri"/>
          <w:color w:val="000000"/>
          <w:lang w:eastAsia="el-GR"/>
        </w:rPr>
      </w:pPr>
      <w:r w:rsidRPr="001A62CC">
        <w:rPr>
          <w:rFonts w:eastAsia="Times New Roman" w:cs="Calibri"/>
          <w:color w:val="000000"/>
          <w:lang w:eastAsia="el-GR"/>
        </w:rPr>
        <w:t xml:space="preserve">η Εθνική Τράπεζα με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τιτλοποιήσεις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€ 6,25 δισ. και</w:t>
      </w:r>
    </w:p>
    <w:p w14:paraId="004DABD9" w14:textId="77777777" w:rsidR="00035A0E" w:rsidRPr="001A62CC" w:rsidRDefault="00035A0E" w:rsidP="001A62C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eastAsia="Times New Roman" w:cs="Calibri"/>
          <w:color w:val="555555"/>
          <w:lang w:eastAsia="el-GR"/>
        </w:rPr>
      </w:pPr>
      <w:r w:rsidRPr="001A62CC">
        <w:rPr>
          <w:rFonts w:eastAsia="Times New Roman" w:cs="Calibri"/>
          <w:color w:val="000000"/>
          <w:lang w:eastAsia="el-GR"/>
        </w:rPr>
        <w:t xml:space="preserve">η Τράπεζα Πειραιώς με </w:t>
      </w:r>
      <w:proofErr w:type="spellStart"/>
      <w:r w:rsidRPr="001A62CC">
        <w:rPr>
          <w:rFonts w:eastAsia="Times New Roman" w:cs="Calibri"/>
          <w:color w:val="000000"/>
          <w:lang w:eastAsia="el-GR"/>
        </w:rPr>
        <w:t>τιτλοποιήσεις</w:t>
      </w:r>
      <w:proofErr w:type="spellEnd"/>
      <w:r w:rsidRPr="001A62CC">
        <w:rPr>
          <w:rFonts w:eastAsia="Times New Roman" w:cs="Calibri"/>
          <w:color w:val="000000"/>
          <w:lang w:eastAsia="el-GR"/>
        </w:rPr>
        <w:t xml:space="preserve"> ύψους € 6,8 δισ</w:t>
      </w:r>
      <w:r w:rsidRPr="001A62CC">
        <w:rPr>
          <w:rFonts w:eastAsia="Times New Roman" w:cs="Calibri"/>
          <w:color w:val="555555"/>
          <w:lang w:eastAsia="el-GR"/>
        </w:rPr>
        <w:t xml:space="preserve">. </w:t>
      </w:r>
    </w:p>
    <w:p w14:paraId="520330BA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3EC64A1F" w14:textId="6A320580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t xml:space="preserve">Σε συνέχεια της αποτελεσματικής λειτουργίας της πρώτης περιόδου του «Ηρακλή», η παράταση του Σχήματος έρχεται κατόπιν αιτήματος των ίδιων των τραπεζών, οι οποίες έχουν ήδη ανακοινώσει στην επενδυτική κοινότητα τους σχεδιασμούς τους για την περαιτέρω </w:t>
      </w:r>
      <w:proofErr w:type="spellStart"/>
      <w:r w:rsidRPr="001A62CC">
        <w:rPr>
          <w:rFonts w:cs="Calibri"/>
        </w:rPr>
        <w:t>απομείωση</w:t>
      </w:r>
      <w:proofErr w:type="spellEnd"/>
      <w:r w:rsidRPr="001A62CC">
        <w:rPr>
          <w:rFonts w:cs="Calibri"/>
        </w:rPr>
        <w:t xml:space="preserve"> των μη εξυπηρετούμενων δανείων, κυρίως μέσω νέων </w:t>
      </w:r>
      <w:proofErr w:type="spellStart"/>
      <w:r w:rsidRPr="001A62CC">
        <w:rPr>
          <w:rFonts w:cs="Calibri"/>
        </w:rPr>
        <w:t>τιτλοποιήσεων</w:t>
      </w:r>
      <w:proofErr w:type="spellEnd"/>
      <w:r w:rsidRPr="001A62CC">
        <w:rPr>
          <w:rFonts w:cs="Calibri"/>
        </w:rPr>
        <w:t xml:space="preserve"> που θα</w:t>
      </w:r>
      <w:r w:rsidR="001A62CC">
        <w:rPr>
          <w:rFonts w:cs="Calibri"/>
        </w:rPr>
        <w:t xml:space="preserve"> μεταβιβάσουν στον «Ηρακλή ΙΙ».</w:t>
      </w:r>
    </w:p>
    <w:p w14:paraId="5F712669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58165A22" w14:textId="360E767B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t xml:space="preserve">Την ίδια αποδοχή για την έλευση του «Ηρακλή ΙΙ» εκδηλώνουν και οι διεθνείς επενδυτές, οι οποίοι έδωσαν ψήφο εμπιστοσύνης στο Σχήμα ακόμη και εν μέσω της πρωτόγνωρης κρίσης του </w:t>
      </w:r>
      <w:r w:rsidRPr="001A62CC">
        <w:rPr>
          <w:rFonts w:cs="Calibri"/>
          <w:lang w:val="en-US"/>
        </w:rPr>
        <w:t>COVID</w:t>
      </w:r>
      <w:r w:rsidR="001A62CC">
        <w:rPr>
          <w:rFonts w:cs="Calibri"/>
        </w:rPr>
        <w:t>-19.</w:t>
      </w:r>
    </w:p>
    <w:p w14:paraId="12DB77FE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6C8CAE87" w14:textId="62CF525C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t xml:space="preserve">Η παράταση του «Ηρακλή» αποτελεί, επίσης, δέσμευση της </w:t>
      </w:r>
      <w:r w:rsidR="001A62CC">
        <w:rPr>
          <w:rFonts w:cs="Calibri"/>
        </w:rPr>
        <w:t>Ε</w:t>
      </w:r>
      <w:r w:rsidRPr="001A62CC">
        <w:rPr>
          <w:rFonts w:cs="Calibri"/>
        </w:rPr>
        <w:t xml:space="preserve">λληνικής Κυβέρνησης στο </w:t>
      </w:r>
      <w:r w:rsidRPr="001A62CC">
        <w:rPr>
          <w:rFonts w:cs="Calibri"/>
          <w:lang w:val="en-US"/>
        </w:rPr>
        <w:t>Eurogroup</w:t>
      </w:r>
      <w:r w:rsidRPr="001A62CC">
        <w:rPr>
          <w:rFonts w:cs="Calibri"/>
        </w:rPr>
        <w:t xml:space="preserve"> της 30ής Νοεμβρίου 2020. Την προοπτική του «Ηρακλή ΙΙ» είχαν χαιρετίσει  τα όργανα της Ε</w:t>
      </w:r>
      <w:r w:rsidR="001A62CC">
        <w:rPr>
          <w:rFonts w:cs="Calibri"/>
        </w:rPr>
        <w:t>.</w:t>
      </w:r>
      <w:r w:rsidRPr="001A62CC">
        <w:rPr>
          <w:rFonts w:cs="Calibri"/>
        </w:rPr>
        <w:t>Ε</w:t>
      </w:r>
      <w:r w:rsidR="001A62CC">
        <w:rPr>
          <w:rFonts w:cs="Calibri"/>
        </w:rPr>
        <w:t>.,</w:t>
      </w:r>
      <w:r w:rsidRPr="001A62CC">
        <w:rPr>
          <w:rFonts w:cs="Calibri"/>
        </w:rPr>
        <w:t xml:space="preserve">  όπως η Ευρωπαϊκή Επιτροπή στην 9η Έκθεση Ενισχυμένης Εποπτείας που δημοσιεύθηκε τον Φεβρουάριο 2021.</w:t>
      </w:r>
    </w:p>
    <w:p w14:paraId="089709B1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6C106BA0" w14:textId="3B586970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t xml:space="preserve">Το σχέδιο «Ηρακλής» αποτελεί μία </w:t>
      </w:r>
      <w:proofErr w:type="spellStart"/>
      <w:r w:rsidRPr="001A62CC">
        <w:rPr>
          <w:rFonts w:cs="Calibri"/>
        </w:rPr>
        <w:t>συστημική</w:t>
      </w:r>
      <w:proofErr w:type="spellEnd"/>
      <w:r w:rsidRPr="001A62CC">
        <w:rPr>
          <w:rFonts w:cs="Calibri"/>
        </w:rPr>
        <w:t xml:space="preserve"> λύση για τη ριζική αντιμετώπιση των </w:t>
      </w:r>
      <w:r w:rsidR="001A62CC">
        <w:rPr>
          <w:rFonts w:cs="Calibri"/>
        </w:rPr>
        <w:t>«</w:t>
      </w:r>
      <w:r w:rsidRPr="001A62CC">
        <w:rPr>
          <w:rFonts w:cs="Calibri"/>
        </w:rPr>
        <w:t>κόκκινων</w:t>
      </w:r>
      <w:r w:rsidR="001A62CC">
        <w:rPr>
          <w:rFonts w:cs="Calibri"/>
        </w:rPr>
        <w:t>»</w:t>
      </w:r>
      <w:r w:rsidRPr="001A62CC">
        <w:rPr>
          <w:rFonts w:cs="Calibri"/>
        </w:rPr>
        <w:t xml:space="preserve"> δανείων</w:t>
      </w:r>
      <w:r w:rsidR="001A62CC">
        <w:rPr>
          <w:rFonts w:cs="Calibri"/>
        </w:rPr>
        <w:t>,</w:t>
      </w:r>
      <w:r w:rsidRPr="001A62CC">
        <w:rPr>
          <w:rFonts w:cs="Calibri"/>
        </w:rPr>
        <w:t xml:space="preserve"> των οποίων ο όγκος στερούσε τη ρευστότητ</w:t>
      </w:r>
      <w:r w:rsidR="001A62CC">
        <w:rPr>
          <w:rFonts w:cs="Calibri"/>
        </w:rPr>
        <w:t>α από την πραγματική οικονομία.</w:t>
      </w:r>
    </w:p>
    <w:p w14:paraId="255B8A8B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4CFDB942" w14:textId="1BBB77F6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lastRenderedPageBreak/>
        <w:t>Είναι μία λύση που στηρίζεται στις αγορές</w:t>
      </w:r>
      <w:r w:rsidR="001A62CC">
        <w:rPr>
          <w:rFonts w:cs="Calibri"/>
        </w:rPr>
        <w:t>,</w:t>
      </w:r>
      <w:r w:rsidRPr="001A62CC">
        <w:rPr>
          <w:rFonts w:cs="Calibri"/>
        </w:rPr>
        <w:t xml:space="preserve"> γιατί αντλεί τα κεφάλαια από τους επενδυτές και δεν επιβαρύνει τον Έλληνα φορολογούμενο </w:t>
      </w:r>
      <w:r w:rsidR="001A62CC">
        <w:rPr>
          <w:rFonts w:cs="Calibri"/>
        </w:rPr>
        <w:t>και τον κρατικό προϋπολογισμό.</w:t>
      </w:r>
    </w:p>
    <w:p w14:paraId="43DEB5A9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3CB8F49D" w14:textId="4FC1D64F" w:rsidR="00035A0E" w:rsidRPr="001A62CC" w:rsidRDefault="00035A0E" w:rsidP="001A62CC">
      <w:pPr>
        <w:spacing w:after="0" w:line="240" w:lineRule="auto"/>
        <w:jc w:val="both"/>
        <w:rPr>
          <w:rFonts w:cs="Calibri"/>
        </w:rPr>
      </w:pPr>
      <w:r w:rsidRPr="001A62CC">
        <w:rPr>
          <w:rFonts w:cs="Calibri"/>
        </w:rPr>
        <w:t>Συνιστά ελκυστική τοποθέτηση για τους επενδυτές, καθώς προσφέρει ομόλογα με θετικές αποδόσεις σε μια εποχή αρνητικ</w:t>
      </w:r>
      <w:r w:rsidR="001A62CC">
        <w:rPr>
          <w:rFonts w:cs="Calibri"/>
        </w:rPr>
        <w:t>ών επιτοκίων.</w:t>
      </w:r>
    </w:p>
    <w:p w14:paraId="51EBF2F4" w14:textId="77777777" w:rsidR="001A62CC" w:rsidRPr="001A62CC" w:rsidRDefault="001A62CC" w:rsidP="001A62CC">
      <w:pPr>
        <w:spacing w:after="0" w:line="240" w:lineRule="auto"/>
        <w:jc w:val="both"/>
        <w:rPr>
          <w:rFonts w:cs="Calibri"/>
        </w:rPr>
      </w:pPr>
    </w:p>
    <w:p w14:paraId="1BB3925D" w14:textId="4F2EE7D7" w:rsidR="004B65E8" w:rsidRPr="001A62CC" w:rsidRDefault="001A62CC" w:rsidP="001A62C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Χάρη στον «Ηρακλή»</w:t>
      </w:r>
      <w:r w:rsidR="00035A0E" w:rsidRPr="001A62CC">
        <w:rPr>
          <w:rFonts w:cs="Calibri"/>
        </w:rPr>
        <w:t xml:space="preserve"> και στην παράτασή του, οι τράπεζες θα μπορέσουν να εξυγιάνουν πλήρως τους ισολογισμούς τους και να επικεντρωθούν εξ ολοκλήρου στον πραγματικό τους ρόλο, που είναι η χρηματοδότηση της πραγματικής οικονομίας. Η εξυγίανση των ελληνικών τραπεζών μέσω της απαλλαγής τους από το φορτίο των ΜΕΔ, τις ξανακάνει </w:t>
      </w:r>
      <w:proofErr w:type="spellStart"/>
      <w:r w:rsidR="00035A0E" w:rsidRPr="001A62CC">
        <w:rPr>
          <w:rFonts w:cs="Calibri"/>
        </w:rPr>
        <w:t>επενδύσιμες</w:t>
      </w:r>
      <w:proofErr w:type="spellEnd"/>
      <w:r w:rsidR="00035A0E" w:rsidRPr="001A62CC">
        <w:rPr>
          <w:rFonts w:cs="Calibri"/>
        </w:rPr>
        <w:t xml:space="preserve">, όπως δείχνει και η θετική αποτίμηση των προοπτικών τους από διεθνείς οίκους πιστοληπτικής </w:t>
      </w:r>
      <w:r w:rsidRPr="001A62CC">
        <w:rPr>
          <w:rFonts w:cs="Calibri"/>
        </w:rPr>
        <w:t>αξιολόγησης</w:t>
      </w:r>
      <w:r>
        <w:rPr>
          <w:rFonts w:cs="Calibri"/>
        </w:rPr>
        <w:t>,</w:t>
      </w:r>
      <w:r w:rsidRPr="001A62CC">
        <w:rPr>
          <w:rFonts w:cs="Calibri"/>
        </w:rPr>
        <w:t xml:space="preserve"> και αποτελεί </w:t>
      </w:r>
      <w:proofErr w:type="spellStart"/>
      <w:r w:rsidRPr="001A62CC">
        <w:rPr>
          <w:rFonts w:cs="Calibri"/>
        </w:rPr>
        <w:t>πρόκρι</w:t>
      </w:r>
      <w:r w:rsidR="00035A0E" w:rsidRPr="001A62CC">
        <w:rPr>
          <w:rFonts w:cs="Calibri"/>
        </w:rPr>
        <w:t>μα</w:t>
      </w:r>
      <w:proofErr w:type="spellEnd"/>
      <w:r w:rsidR="00035A0E" w:rsidRPr="001A62CC">
        <w:rPr>
          <w:rFonts w:cs="Calibri"/>
        </w:rPr>
        <w:t xml:space="preserve"> για την ανάπτυξη της ελληνικής οικονομίας και την απόκτηση επενδ</w:t>
      </w:r>
      <w:r>
        <w:rPr>
          <w:rFonts w:cs="Calibri"/>
        </w:rPr>
        <w:t>υτικής βαθμίδας της χώρας μας.</w:t>
      </w:r>
    </w:p>
    <w:sectPr w:rsidR="004B65E8" w:rsidRPr="001A62CC" w:rsidSect="003828C3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800C" w14:textId="77777777" w:rsidR="000E69EA" w:rsidRDefault="000E69EA" w:rsidP="009B6686">
      <w:pPr>
        <w:spacing w:after="0" w:line="240" w:lineRule="auto"/>
      </w:pPr>
      <w:r>
        <w:separator/>
      </w:r>
    </w:p>
  </w:endnote>
  <w:endnote w:type="continuationSeparator" w:id="0">
    <w:p w14:paraId="3F31410A" w14:textId="77777777" w:rsidR="000E69EA" w:rsidRDefault="000E69EA" w:rsidP="009B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Μοντέρνα">
    <w:altName w:val="Tahoma"/>
    <w:panose1 w:val="00000000000000000000"/>
    <w:charset w:val="4D"/>
    <w:family w:val="roman"/>
    <w:notTrueType/>
    <w:pitch w:val="default"/>
    <w:sig w:usb0="00000000" w:usb1="00000001" w:usb2="00000000" w:usb3="03370B9C" w:csb0="FFFFFFFF" w:csb1="03370878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925217"/>
      <w:docPartObj>
        <w:docPartGallery w:val="Page Numbers (Bottom of Page)"/>
        <w:docPartUnique/>
      </w:docPartObj>
    </w:sdtPr>
    <w:sdtContent>
      <w:p w14:paraId="0653D816" w14:textId="502BA601" w:rsidR="009B6686" w:rsidRDefault="009B6686" w:rsidP="009B66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55C03" w14:textId="77777777" w:rsidR="000E69EA" w:rsidRDefault="000E69EA" w:rsidP="009B6686">
      <w:pPr>
        <w:spacing w:after="0" w:line="240" w:lineRule="auto"/>
      </w:pPr>
      <w:r>
        <w:separator/>
      </w:r>
    </w:p>
  </w:footnote>
  <w:footnote w:type="continuationSeparator" w:id="0">
    <w:p w14:paraId="1D4BEC64" w14:textId="77777777" w:rsidR="000E69EA" w:rsidRDefault="000E69EA" w:rsidP="009B6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D609C3"/>
    <w:multiLevelType w:val="multilevel"/>
    <w:tmpl w:val="5BF8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10727"/>
    <w:multiLevelType w:val="multilevel"/>
    <w:tmpl w:val="31FAB5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0E"/>
    <w:rsid w:val="00035A0E"/>
    <w:rsid w:val="000E69EA"/>
    <w:rsid w:val="000E7EC5"/>
    <w:rsid w:val="001A62CC"/>
    <w:rsid w:val="001F665B"/>
    <w:rsid w:val="004B65E8"/>
    <w:rsid w:val="009B6686"/>
    <w:rsid w:val="00AB71FD"/>
    <w:rsid w:val="00A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5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qFormat/>
    <w:rsid w:val="000E7EC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uiPriority w:val="9"/>
    <w:qFormat/>
    <w:rsid w:val="000E7EC5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35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0E7EC5"/>
    <w:rPr>
      <w:rFonts w:ascii="Arial" w:eastAsia="Times New Roman" w:hAnsi="Arial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0E7EC5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character" w:customStyle="1" w:styleId="mesotitlos">
    <w:name w:val="mesotitlos"/>
    <w:basedOn w:val="a0"/>
    <w:rsid w:val="000E7EC5"/>
  </w:style>
  <w:style w:type="paragraph" w:styleId="a3">
    <w:name w:val="List Paragraph"/>
    <w:basedOn w:val="a"/>
    <w:uiPriority w:val="34"/>
    <w:qFormat/>
    <w:rsid w:val="00AB71F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A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A62C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9B66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B6686"/>
    <w:rPr>
      <w:rFonts w:ascii="Calibri" w:eastAsia="Calibri" w:hAnsi="Calibri" w:cs="Times New Roman"/>
    </w:rPr>
  </w:style>
  <w:style w:type="paragraph" w:styleId="a6">
    <w:name w:val="footer"/>
    <w:basedOn w:val="a"/>
    <w:link w:val="Char1"/>
    <w:uiPriority w:val="99"/>
    <w:unhideWhenUsed/>
    <w:rsid w:val="009B66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B668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qFormat/>
    <w:rsid w:val="000E7EC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el-GR"/>
    </w:rPr>
  </w:style>
  <w:style w:type="paragraph" w:styleId="3">
    <w:name w:val="heading 3"/>
    <w:basedOn w:val="a"/>
    <w:next w:val="a"/>
    <w:link w:val="3Char"/>
    <w:uiPriority w:val="9"/>
    <w:qFormat/>
    <w:rsid w:val="000E7EC5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35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0E7EC5"/>
    <w:rPr>
      <w:rFonts w:ascii="Arial" w:eastAsia="Times New Roman" w:hAnsi="Arial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0E7EC5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character" w:customStyle="1" w:styleId="mesotitlos">
    <w:name w:val="mesotitlos"/>
    <w:basedOn w:val="a0"/>
    <w:rsid w:val="000E7EC5"/>
  </w:style>
  <w:style w:type="paragraph" w:styleId="a3">
    <w:name w:val="List Paragraph"/>
    <w:basedOn w:val="a"/>
    <w:uiPriority w:val="34"/>
    <w:qFormat/>
    <w:rsid w:val="00AB71F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A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A62C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9B66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B6686"/>
    <w:rPr>
      <w:rFonts w:ascii="Calibri" w:eastAsia="Calibri" w:hAnsi="Calibri" w:cs="Times New Roman"/>
    </w:rPr>
  </w:style>
  <w:style w:type="paragraph" w:styleId="a6">
    <w:name w:val="footer"/>
    <w:basedOn w:val="a"/>
    <w:link w:val="Char1"/>
    <w:uiPriority w:val="99"/>
    <w:unhideWhenUsed/>
    <w:rsid w:val="009B66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B66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_iiluUEluqEA/R9azs5KQbgI/AAAAAAAAAAM/iQoPv6m4Jwo/s320/%CE%B5%CE%B8%CE%BD%CE%BF%CF%83%CE%B7%CE%BC%CE%BF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952</Words>
  <Characters>5145</Characters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2021-04-09T11:01:00Z</dcterms:created>
  <dcterms:modified xsi:type="dcterms:W3CDTF">2021-04-09T11:27:00Z</dcterms:modified>
</cp:coreProperties>
</file>